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0A70" w:rsidRDefault="009E76B7">
      <w:pPr>
        <w:pStyle w:val="ConsPlusTitlePage"/>
        <w:rPr>
          <w:color w:val="0000FF"/>
        </w:rPr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</w:p>
    <w:p w:rsidR="009E76B7" w:rsidRDefault="00C50A70">
      <w:pPr>
        <w:pStyle w:val="ConsPlusTitlePage"/>
      </w:pPr>
      <w:r>
        <w:t>Исключительные права на представленный материал принадлежат АО "Консультант Плюс".</w:t>
      </w:r>
      <w:bookmarkStart w:id="0" w:name="_GoBack"/>
      <w:bookmarkEnd w:id="0"/>
      <w:r w:rsidR="009E76B7">
        <w:br/>
      </w:r>
    </w:p>
    <w:p w:rsidR="009E76B7" w:rsidRDefault="009E76B7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6B7" w:rsidRDefault="009E76B7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08.12.2025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Title"/>
        <w:spacing w:before="280"/>
        <w:jc w:val="center"/>
      </w:pPr>
      <w:r>
        <w:t>ОСНОВНЫЕ ИЗМЕНЕНИЯ В НАЛОГОВОМ ЗАКОНОДАТЕЛЬСТВЕ В 2026 ГОДУ</w:t>
      </w:r>
    </w:p>
    <w:p w:rsidR="009E76B7" w:rsidRDefault="009E76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6B7" w:rsidRDefault="009E76B7">
            <w:pPr>
              <w:pStyle w:val="ConsPlusNormal"/>
              <w:jc w:val="center"/>
            </w:pPr>
            <w:r>
              <w:rPr>
                <w:b/>
                <w:color w:val="392C69"/>
              </w:rPr>
              <w:t>К чему готовиться</w:t>
            </w:r>
          </w:p>
          <w:p w:rsidR="009E76B7" w:rsidRDefault="009E76B7">
            <w:pPr>
              <w:pStyle w:val="ConsPlusNormal"/>
              <w:jc w:val="center"/>
            </w:pPr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r>
              <w:rPr>
                <w:b/>
                <w:color w:val="392C69"/>
              </w:rPr>
              <w:t>1 января</w:t>
            </w:r>
            <w:r>
              <w:rPr>
                <w:color w:val="392C69"/>
              </w:rPr>
              <w:t>:</w:t>
            </w:r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действуют обновленные правила налоговых проверок </w:t>
            </w:r>
            <w:hyperlink w:anchor="P64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уточняют правила учета ошибок прошлых периодов </w:t>
            </w:r>
            <w:hyperlink w:anchor="P73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подтверждать постановку на учет может выписка из ЕГРН </w:t>
            </w:r>
            <w:hyperlink w:anchor="P79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действуют новые форматы документов при налоговом мониторинге </w:t>
            </w:r>
            <w:hyperlink w:anchor="P91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на 220 тыс. руб. увеличивается предельная величина базы по страховым взносам </w:t>
            </w:r>
            <w:hyperlink w:anchor="P120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МРОТ составит 27 093 руб. </w:t>
            </w:r>
            <w:hyperlink w:anchor="P126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корректируют правила пониженных тарифов для ИТ-отрасли и радиоэлектронной промышленности </w:t>
            </w:r>
            <w:hyperlink w:anchor="P132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расходы на полис ДМС при командировке за границу освобождают от НДФЛ и взносов </w:t>
            </w:r>
            <w:hyperlink w:anchor="P141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вводят новые коды вычетов и доходов по НДФЛ </w:t>
            </w:r>
            <w:hyperlink w:anchor="P147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повышается не облагаемый взносами и НДФЛ порог матпомощи семьям с детьми </w:t>
            </w:r>
            <w:hyperlink w:anchor="P163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повышают ставку НДС </w:t>
            </w:r>
            <w:hyperlink w:anchor="P183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снижают предельный размер доходов на УСН для освобождения от обязанностей плательщика НДС </w:t>
            </w:r>
            <w:hyperlink w:anchor="P191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обязательных реквизитов счетов-фактур становится больше </w:t>
            </w:r>
            <w:hyperlink w:anchor="P197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расширяют перечень сомнительных долгов </w:t>
            </w:r>
            <w:hyperlink w:anchor="P203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расширяют перечень расходов, учитываемых при УСН </w:t>
            </w:r>
            <w:hyperlink w:anchor="P211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работодатель вправе учесть в расходах матпомощь семьям с детьми </w:t>
            </w:r>
            <w:hyperlink w:anchor="P219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УПД становится основным электронным документом для подтверждения отгрузки </w:t>
            </w:r>
            <w:hyperlink w:anchor="P225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индексируют лимиты при УСН </w:t>
            </w:r>
            <w:hyperlink w:anchor="P242">
              <w:r>
                <w:rPr>
                  <w:color w:val="0000FF"/>
                </w:rPr>
                <w:t>&gt;&gt;&gt;</w:t>
              </w:r>
            </w:hyperlink>
          </w:p>
          <w:p w:rsidR="009E76B7" w:rsidRDefault="009E76B7">
            <w:pPr>
              <w:pStyle w:val="ConsPlusNormal"/>
              <w:jc w:val="both"/>
            </w:pPr>
            <w:r>
              <w:rPr>
                <w:color w:val="392C69"/>
              </w:rPr>
              <w:t xml:space="preserve">- вводят технологический сбор </w:t>
            </w:r>
            <w:hyperlink w:anchor="P253">
              <w:r>
                <w:rPr>
                  <w:color w:val="0000FF"/>
                </w:rPr>
                <w:t>&gt;&gt;&gt;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center"/>
      </w:pPr>
    </w:p>
    <w:p w:rsidR="009E76B7" w:rsidRDefault="009E76B7">
      <w:pPr>
        <w:pStyle w:val="ConsPlusTitle"/>
        <w:jc w:val="center"/>
      </w:pPr>
      <w:r>
        <w:t>ТЕМЫ ОБЗОРА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Контроль за уплатой налогов и взносов </w:t>
      </w:r>
      <w:hyperlink w:anchor="P33">
        <w:r>
          <w:rPr>
            <w:color w:val="0000FF"/>
          </w:rPr>
          <w:t>&gt;&gt;&gt;</w:t>
        </w:r>
      </w:hyperlink>
    </w:p>
    <w:p w:rsidR="009E76B7" w:rsidRDefault="009E76B7">
      <w:pPr>
        <w:pStyle w:val="ConsPlusNormal"/>
        <w:spacing w:before="220"/>
        <w:jc w:val="both"/>
      </w:pPr>
      <w:r>
        <w:t xml:space="preserve">НДФЛ. Страховые взносы. Расчеты с сотрудниками </w:t>
      </w:r>
      <w:hyperlink w:anchor="P105">
        <w:r>
          <w:rPr>
            <w:color w:val="0000FF"/>
          </w:rPr>
          <w:t>&gt;&gt;&gt;</w:t>
        </w:r>
      </w:hyperlink>
    </w:p>
    <w:p w:rsidR="009E76B7" w:rsidRDefault="009E76B7">
      <w:pPr>
        <w:pStyle w:val="ConsPlusNormal"/>
        <w:spacing w:before="220"/>
        <w:jc w:val="both"/>
      </w:pPr>
      <w:r>
        <w:t xml:space="preserve">НДС. Налог на прибыль. УСН </w:t>
      </w:r>
      <w:hyperlink w:anchor="P172">
        <w:r>
          <w:rPr>
            <w:color w:val="0000FF"/>
          </w:rPr>
          <w:t>&gt;&gt;&gt;</w:t>
        </w:r>
      </w:hyperlink>
    </w:p>
    <w:p w:rsidR="009E76B7" w:rsidRDefault="009E76B7">
      <w:pPr>
        <w:pStyle w:val="ConsPlusNormal"/>
        <w:spacing w:before="220"/>
        <w:jc w:val="both"/>
      </w:pPr>
      <w:r>
        <w:t xml:space="preserve">Технологический сбор </w:t>
      </w:r>
      <w:hyperlink w:anchor="P251">
        <w:r>
          <w:rPr>
            <w:color w:val="0000FF"/>
          </w:rPr>
          <w:t>&gt;&gt;&gt;</w:t>
        </w:r>
      </w:hyperlink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center"/>
        <w:outlineLvl w:val="0"/>
      </w:pPr>
      <w:bookmarkStart w:id="1" w:name="P33"/>
      <w:bookmarkEnd w:id="1"/>
      <w:r>
        <w:t>КОНТРОЛЬ ЗА УПЛАТОЙ НАЛОГОВ И ВЗНОСОВ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2" w:name="P35"/>
      <w:bookmarkEnd w:id="2"/>
      <w:r>
        <w:t>С 1 сентября уточняют правила налоговых проверок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6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>Среди новшеств можно выделить такие: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7">
        <w:r>
          <w:rPr>
            <w:color w:val="0000FF"/>
          </w:rPr>
          <w:t>рассмотреть</w:t>
        </w:r>
      </w:hyperlink>
      <w:r>
        <w:t xml:space="preserve"> жалобу (в т.ч. апелляционную) может не только вышестоящий орган, но и налоговый </w:t>
      </w:r>
      <w:r>
        <w:lastRenderedPageBreak/>
        <w:t xml:space="preserve">орган, который уполномочила ФНС. Аналогичное правило для камеральных проверок </w:t>
      </w:r>
      <w:hyperlink w:anchor="P64">
        <w:r>
          <w:rPr>
            <w:color w:val="0000FF"/>
          </w:rPr>
          <w:t>действует</w:t>
        </w:r>
      </w:hyperlink>
      <w:r>
        <w:t xml:space="preserve"> с 1 января;</w:t>
      </w:r>
    </w:p>
    <w:p w:rsidR="009E76B7" w:rsidRDefault="009E76B7">
      <w:pPr>
        <w:pStyle w:val="ConsPlusNormal"/>
        <w:spacing w:before="220"/>
        <w:jc w:val="both"/>
      </w:pPr>
      <w:r>
        <w:t xml:space="preserve">- инспекция </w:t>
      </w:r>
      <w:hyperlink r:id="rId8">
        <w:r>
          <w:rPr>
            <w:color w:val="0000FF"/>
          </w:rPr>
          <w:t>может рассматривать</w:t>
        </w:r>
      </w:hyperlink>
      <w:r>
        <w:t xml:space="preserve"> материалы проверки по видеоконференции;</w:t>
      </w:r>
    </w:p>
    <w:p w:rsidR="009E76B7" w:rsidRDefault="009E76B7">
      <w:pPr>
        <w:pStyle w:val="ConsPlusNormal"/>
        <w:spacing w:before="220"/>
        <w:jc w:val="both"/>
      </w:pPr>
      <w:r>
        <w:t>- определяют способы подачи возражений на акт проверки: лично, заказным письмом, по ТКС или через личный кабинет (на сайте ФНС либо на Госуслугах). Формат и порядок подачи документов утвердит ФНС.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r>
        <w:t>С 1 сентября вводят верхний предел снижения штрафа при смягчающих обстоятельствах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9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Санкцию смогут уменьшить </w:t>
      </w:r>
      <w:hyperlink r:id="rId10">
        <w:r>
          <w:rPr>
            <w:color w:val="0000FF"/>
          </w:rPr>
          <w:t>не более чем в 10 раз</w:t>
        </w:r>
      </w:hyperlink>
      <w:r>
        <w:t xml:space="preserve">. Минимальное уменьшение - </w:t>
      </w:r>
      <w:hyperlink r:id="rId11">
        <w:r>
          <w:rPr>
            <w:color w:val="0000FF"/>
          </w:rPr>
          <w:t>в 2 раза</w:t>
        </w:r>
      </w:hyperlink>
      <w:r>
        <w:t xml:space="preserve"> - остается неизменным.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r>
        <w:t>С 1 сентября организация может отказаться от инспекции, выбранной для учета подразделений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2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Организации с подразделениями получают возможность не только </w:t>
      </w:r>
      <w:hyperlink r:id="rId13">
        <w:r>
          <w:rPr>
            <w:color w:val="0000FF"/>
          </w:rPr>
          <w:t>выбирать</w:t>
        </w:r>
      </w:hyperlink>
      <w:r>
        <w:t xml:space="preserve"> одну инспекцию для постановки на учет в уведомлении, но и </w:t>
      </w:r>
      <w:hyperlink r:id="rId14">
        <w:r>
          <w:rPr>
            <w:color w:val="0000FF"/>
          </w:rPr>
          <w:t>отказываться</w:t>
        </w:r>
      </w:hyperlink>
      <w:r>
        <w:t xml:space="preserve"> от своего выбора.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r>
        <w:t>С 1 апреля заполнять платежное поручение нужно по обновленным правилам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hyperlink r:id="rId15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Минфина России от 16.05.2025 N 58н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>Минфин утвердил новые правила заполнения платежек, составленные в виде таблицы с полным перечнем реквизитов и комментариями по их заполнению. В ней есть, в частности, отдельные указания по порядку заполнения реквизитов для фактических: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16">
        <w:r>
          <w:rPr>
            <w:color w:val="0000FF"/>
          </w:rPr>
          <w:t>плательщиков средств</w:t>
        </w:r>
      </w:hyperlink>
      <w:r>
        <w:t xml:space="preserve"> - назначение платежа, ИНН, КПП, тип идентификатора и идентификатор;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17">
        <w:r>
          <w:rPr>
            <w:color w:val="0000FF"/>
          </w:rPr>
          <w:t>получателей денег</w:t>
        </w:r>
      </w:hyperlink>
      <w:r>
        <w:t xml:space="preserve"> - наименование, ИНН, КПП.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3" w:name="P64"/>
      <w:bookmarkEnd w:id="3"/>
      <w:r>
        <w:t>С 1 января действуют обновленные правила налоговых проверок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8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>Инспекции получают возможность: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19">
        <w:r>
          <w:rPr>
            <w:color w:val="0000FF"/>
          </w:rPr>
          <w:t>осматривать</w:t>
        </w:r>
      </w:hyperlink>
      <w:r>
        <w:t xml:space="preserve"> территории и помещения, а также </w:t>
      </w:r>
      <w:hyperlink r:id="rId20">
        <w:r>
          <w:rPr>
            <w:color w:val="0000FF"/>
          </w:rPr>
          <w:t>проводить выемку</w:t>
        </w:r>
      </w:hyperlink>
      <w:r>
        <w:t xml:space="preserve"> документов и предметов в рамках дополнительных мероприятий при рассмотрении материалов проверки;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21">
        <w:r>
          <w:rPr>
            <w:color w:val="0000FF"/>
          </w:rPr>
          <w:t>проверять</w:t>
        </w:r>
      </w:hyperlink>
      <w:r>
        <w:t xml:space="preserve"> при выездной проверке налоговые периоды текущего года, если на день вынесения решения они завершены. Отметим, что Минфин и по прежней редакции </w:t>
      </w:r>
      <w:hyperlink r:id="rId22">
        <w:r>
          <w:rPr>
            <w:color w:val="0000FF"/>
          </w:rPr>
          <w:t>не видел ограничений</w:t>
        </w:r>
      </w:hyperlink>
      <w:r>
        <w:t xml:space="preserve"> для проверок и отчетных периодов текущего года.</w:t>
      </w:r>
    </w:p>
    <w:p w:rsidR="009E76B7" w:rsidRDefault="009E76B7">
      <w:pPr>
        <w:pStyle w:val="ConsPlusNormal"/>
        <w:spacing w:before="220"/>
        <w:jc w:val="both"/>
      </w:pPr>
      <w:r>
        <w:t xml:space="preserve">Также </w:t>
      </w:r>
      <w:hyperlink r:id="rId23">
        <w:r>
          <w:rPr>
            <w:color w:val="0000FF"/>
          </w:rPr>
          <w:t>закрепляют</w:t>
        </w:r>
      </w:hyperlink>
      <w:r>
        <w:t xml:space="preserve"> правило: провести камеральную проверку может не только инспекция, куда подали декларацию или расчет, но и налоговый орган, который уполномочила ФНС. Если порядок </w:t>
      </w:r>
      <w:r>
        <w:lastRenderedPageBreak/>
        <w:t xml:space="preserve">будет не обычным, налогоплательщика уведомят по форме и формату, который утвердят налоговики. Отметим, с 1 сентября 2026 года аналогичное правило </w:t>
      </w:r>
      <w:hyperlink w:anchor="P35">
        <w:r>
          <w:rPr>
            <w:color w:val="0000FF"/>
          </w:rPr>
          <w:t>устанавливают</w:t>
        </w:r>
      </w:hyperlink>
      <w:r>
        <w:t xml:space="preserve"> для рассмотрения жалоб, в т.ч. апелляционных: делать это сможет не только вышестоящий орган, но и уполномоченный ФНС.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4" w:name="P73"/>
      <w:bookmarkEnd w:id="4"/>
      <w:r>
        <w:t>С 1 января уточняют правила учета ошибок прошлых периодов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24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Закрепляют </w:t>
      </w:r>
      <w:hyperlink r:id="rId25">
        <w:r>
          <w:rPr>
            <w:color w:val="0000FF"/>
          </w:rPr>
          <w:t>подход Минфина</w:t>
        </w:r>
      </w:hyperlink>
      <w:r>
        <w:t xml:space="preserve">: </w:t>
      </w:r>
      <w:hyperlink r:id="rId26">
        <w:r>
          <w:rPr>
            <w:color w:val="0000FF"/>
          </w:rPr>
          <w:t>нельзя учитывать</w:t>
        </w:r>
      </w:hyperlink>
      <w:r>
        <w:t xml:space="preserve"> в текущем периоде ошибки прошлых периодов при излишней уплате налога, если в текущем ставка увеличилась.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5" w:name="P79"/>
      <w:bookmarkEnd w:id="5"/>
      <w:r>
        <w:t>С 1 января подтверждать постановку на учет может выписка из ЕГРН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27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08.08.2024 N 259-ФЗ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hyperlink r:id="rId28">
              <w:r>
                <w:rPr>
                  <w:color w:val="0000FF"/>
                  <w:sz w:val="18"/>
                </w:rPr>
                <w:t>Информация</w:t>
              </w:r>
            </w:hyperlink>
            <w:r>
              <w:rPr>
                <w:sz w:val="18"/>
              </w:rPr>
              <w:t xml:space="preserve"> ФНС России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Свидетельство о постановке на учет в инспекции упраздняют. Подтверждать постановку на учет и снятие с него </w:t>
      </w:r>
      <w:hyperlink r:id="rId29">
        <w:r>
          <w:rPr>
            <w:color w:val="0000FF"/>
          </w:rPr>
          <w:t>сможет</w:t>
        </w:r>
      </w:hyperlink>
      <w:r>
        <w:t xml:space="preserve"> в том числе выписка из единого госреестра налогоплательщиков (ЕГРН). Выданные до 2026 года свидетельства и уведомления </w:t>
      </w:r>
      <w:hyperlink r:id="rId30">
        <w:r>
          <w:rPr>
            <w:color w:val="0000FF"/>
          </w:rPr>
          <w:t>менять не нужно</w:t>
        </w:r>
      </w:hyperlink>
      <w:r>
        <w:t>.</w:t>
      </w:r>
    </w:p>
    <w:p w:rsidR="009E76B7" w:rsidRDefault="009E76B7">
      <w:pPr>
        <w:pStyle w:val="ConsPlusNormal"/>
        <w:spacing w:before="220"/>
        <w:jc w:val="both"/>
      </w:pPr>
      <w:r>
        <w:t xml:space="preserve">Кроме выписки из реестра налогоплательщиков, постановку на учет </w:t>
      </w:r>
      <w:hyperlink r:id="rId31">
        <w:r>
          <w:rPr>
            <w:color w:val="0000FF"/>
          </w:rPr>
          <w:t>подтвердят</w:t>
        </w:r>
      </w:hyperlink>
      <w:r>
        <w:t xml:space="preserve"> выписки:</w:t>
      </w:r>
    </w:p>
    <w:p w:rsidR="009E76B7" w:rsidRDefault="009E76B7">
      <w:pPr>
        <w:pStyle w:val="ConsPlusNormal"/>
        <w:spacing w:before="220"/>
        <w:jc w:val="both"/>
      </w:pPr>
      <w:r>
        <w:t>- для организаций - из ЕГРЮЛ;</w:t>
      </w:r>
    </w:p>
    <w:p w:rsidR="009E76B7" w:rsidRDefault="009E76B7">
      <w:pPr>
        <w:pStyle w:val="ConsPlusNormal"/>
        <w:spacing w:before="220"/>
        <w:jc w:val="both"/>
      </w:pPr>
      <w:r>
        <w:t>- иностранных компаний - Госреестра аккредитованных филиалов, представительств иностранных юрлиц (РАФП);</w:t>
      </w:r>
    </w:p>
    <w:p w:rsidR="009E76B7" w:rsidRDefault="009E76B7">
      <w:pPr>
        <w:pStyle w:val="ConsPlusNormal"/>
        <w:spacing w:before="220"/>
        <w:jc w:val="both"/>
      </w:pPr>
      <w:r>
        <w:t>- ИП - ЕГРИП.</w:t>
      </w:r>
    </w:p>
    <w:p w:rsidR="009E76B7" w:rsidRDefault="009E76B7">
      <w:pPr>
        <w:pStyle w:val="ConsPlusNormal"/>
        <w:spacing w:before="220"/>
        <w:jc w:val="both"/>
      </w:pPr>
      <w:r>
        <w:t xml:space="preserve">Обращаем внимание, что ФНС </w:t>
      </w:r>
      <w:hyperlink r:id="rId32">
        <w:r>
          <w:rPr>
            <w:color w:val="0000FF"/>
          </w:rPr>
          <w:t>планирует утвердить</w:t>
        </w:r>
      </w:hyperlink>
      <w:r>
        <w:t xml:space="preserve"> форму запроса выписки из ЕГРН. Сейчас такой запрос можно составить </w:t>
      </w:r>
      <w:hyperlink r:id="rId33">
        <w:r>
          <w:rPr>
            <w:color w:val="0000FF"/>
          </w:rPr>
          <w:t>произвольно</w:t>
        </w:r>
      </w:hyperlink>
      <w:r>
        <w:t>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6" w:name="P91"/>
      <w:bookmarkEnd w:id="6"/>
      <w:r>
        <w:t>С 1 января действуют новые форматы документов при налоговом мониторинге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hyperlink r:id="rId34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ФНС России от 18.10.2023 N ЕД-7-23/757@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ФНС утвердила ряд новых форматов для электронного обмена документами через </w:t>
      </w:r>
      <w:proofErr w:type="spellStart"/>
      <w:r>
        <w:t>информресурсы</w:t>
      </w:r>
      <w:proofErr w:type="spellEnd"/>
      <w:r>
        <w:t xml:space="preserve"> организаций - участников налогового мониторинга. Речь идет о форматах: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35">
        <w:r>
          <w:rPr>
            <w:color w:val="0000FF"/>
          </w:rPr>
          <w:t>требования</w:t>
        </w:r>
      </w:hyperlink>
      <w:r>
        <w:t xml:space="preserve"> предоставить документы, информацию или пояснения;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36">
        <w:r>
          <w:rPr>
            <w:color w:val="0000FF"/>
          </w:rPr>
          <w:t>ответа</w:t>
        </w:r>
      </w:hyperlink>
      <w:r>
        <w:t xml:space="preserve"> на такое требование;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37">
        <w:r>
          <w:rPr>
            <w:color w:val="0000FF"/>
          </w:rPr>
          <w:t>решения</w:t>
        </w:r>
      </w:hyperlink>
      <w:r>
        <w:t xml:space="preserve"> продлить (отказать продлевать) сроки направления документов, информации или пояснений;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38">
        <w:r>
          <w:rPr>
            <w:color w:val="0000FF"/>
          </w:rPr>
          <w:t>протокола</w:t>
        </w:r>
      </w:hyperlink>
      <w:r>
        <w:t xml:space="preserve"> обработки документов или информации;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39">
        <w:r>
          <w:rPr>
            <w:color w:val="0000FF"/>
          </w:rPr>
          <w:t>сообщения</w:t>
        </w:r>
      </w:hyperlink>
      <w:r>
        <w:t xml:space="preserve"> об ошибке.</w:t>
      </w:r>
    </w:p>
    <w:p w:rsidR="009E76B7" w:rsidRDefault="009E76B7">
      <w:pPr>
        <w:pStyle w:val="ConsPlusNormal"/>
        <w:spacing w:before="220"/>
        <w:jc w:val="both"/>
      </w:pPr>
      <w:r>
        <w:lastRenderedPageBreak/>
        <w:t xml:space="preserve">Определили и </w:t>
      </w:r>
      <w:hyperlink r:id="rId40">
        <w:r>
          <w:rPr>
            <w:color w:val="0000FF"/>
          </w:rPr>
          <w:t>порядок</w:t>
        </w:r>
      </w:hyperlink>
      <w:r>
        <w:t xml:space="preserve"> обмена документами через </w:t>
      </w:r>
      <w:proofErr w:type="spellStart"/>
      <w:r>
        <w:t>информресурсы</w:t>
      </w:r>
      <w:proofErr w:type="spellEnd"/>
      <w:r>
        <w:t xml:space="preserve">. К примеру, бумажный документ </w:t>
      </w:r>
      <w:hyperlink r:id="rId41">
        <w:r>
          <w:rPr>
            <w:color w:val="0000FF"/>
          </w:rPr>
          <w:t>следует преобразовать</w:t>
        </w:r>
      </w:hyperlink>
      <w:r>
        <w:t xml:space="preserve"> в электронную форму. Для этого его сканируют с сохранением реквизитов.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  <w:jc w:val="both"/>
            </w:pPr>
            <w:r>
              <w:t xml:space="preserve">См. также готовое решение </w:t>
            </w:r>
            <w:hyperlink r:id="rId43">
              <w:r>
                <w:rPr>
                  <w:color w:val="0000FF"/>
                </w:rPr>
                <w:t>"Налоговый мониторинг"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center"/>
        <w:outlineLvl w:val="0"/>
      </w:pPr>
      <w:bookmarkStart w:id="7" w:name="P105"/>
      <w:bookmarkEnd w:id="7"/>
      <w:r>
        <w:t>НДФЛ. СТРАХОВЫЕ ВЗНОСЫ. РАСЧЕТЫ С СОТРУДНИКАМИ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r>
        <w:t>Не позднее 15 апреля для взносов на травматизм нужно подтвердить вид деятельности подразделений по новым правилам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hyperlink r:id="rId44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Минтруда России от 24.07.2025 N 463н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По изменениям, которые действуют с 27 октября 2025 года, подтверждать основной вид деятельности по месту нахождения подразделения </w:t>
      </w:r>
      <w:hyperlink r:id="rId45">
        <w:r>
          <w:rPr>
            <w:color w:val="0000FF"/>
          </w:rPr>
          <w:t>нужно</w:t>
        </w:r>
      </w:hyperlink>
      <w:r>
        <w:t xml:space="preserve">, только если по </w:t>
      </w:r>
      <w:proofErr w:type="spellStart"/>
      <w:r>
        <w:t>бухотчетности</w:t>
      </w:r>
      <w:proofErr w:type="spellEnd"/>
      <w:r>
        <w:t xml:space="preserve"> за прошлый год он изменился. Направлять копию пояснительной записки не надо. Также не нужно подтверждать ОВЭД, если нет изменений.</w:t>
      </w:r>
    </w:p>
    <w:p w:rsidR="009E76B7" w:rsidRDefault="009E76B7">
      <w:pPr>
        <w:pStyle w:val="ConsPlusNormal"/>
        <w:spacing w:before="220"/>
        <w:jc w:val="both"/>
      </w:pPr>
      <w:r>
        <w:t xml:space="preserve">Новый порядок устанавливает </w:t>
      </w:r>
      <w:hyperlink r:id="rId46">
        <w:r>
          <w:rPr>
            <w:color w:val="0000FF"/>
          </w:rPr>
          <w:t>условия</w:t>
        </w:r>
      </w:hyperlink>
      <w:r>
        <w:t xml:space="preserve"> для рассмотрения фондом заявлений о выделении подразделений страхователя в самостоятельные классификационные единицы (СКЕ). Причем по прежним правилам требований к СКЕ </w:t>
      </w:r>
      <w:hyperlink r:id="rId47">
        <w:r>
          <w:rPr>
            <w:color w:val="0000FF"/>
          </w:rPr>
          <w:t>было больше</w:t>
        </w:r>
      </w:hyperlink>
      <w:r>
        <w:t>.</w:t>
      </w:r>
    </w:p>
    <w:p w:rsidR="009E76B7" w:rsidRDefault="009E76B7">
      <w:pPr>
        <w:pStyle w:val="ConsPlusNormal"/>
        <w:spacing w:before="220"/>
        <w:jc w:val="both"/>
      </w:pPr>
      <w:r>
        <w:t>Также Минтруд рекомендовал формы документов, например: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48">
        <w:r>
          <w:rPr>
            <w:color w:val="0000FF"/>
          </w:rPr>
          <w:t>заявления</w:t>
        </w:r>
      </w:hyperlink>
      <w:r>
        <w:t xml:space="preserve"> о подтверждении ОВЭД;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49">
        <w:r>
          <w:rPr>
            <w:color w:val="0000FF"/>
          </w:rPr>
          <w:t>справки-подтверждения</w:t>
        </w:r>
      </w:hyperlink>
      <w:r>
        <w:t xml:space="preserve"> ОВЭД;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50">
        <w:r>
          <w:rPr>
            <w:color w:val="0000FF"/>
          </w:rPr>
          <w:t>заявления</w:t>
        </w:r>
      </w:hyperlink>
      <w:r>
        <w:t xml:space="preserve"> о выделении подразделений в СКЕ.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  <w:jc w:val="both"/>
            </w:pPr>
            <w:r>
              <w:t xml:space="preserve">См. также готовое решение </w:t>
            </w:r>
            <w:hyperlink r:id="rId51">
              <w:r>
                <w:rPr>
                  <w:color w:val="0000FF"/>
                </w:rPr>
                <w:t>"Как организации с обособленными подразделениями подтвердить в СФР основной вид деятельности"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8" w:name="P120"/>
      <w:bookmarkEnd w:id="8"/>
      <w:r>
        <w:t>С 1 января на 220 тыс. руб. увеличивается предельная величина базы по страховым взносам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hyperlink r:id="rId52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31.10.2025 N 1705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Единая предельная величина базы по взносам на 2026 год - </w:t>
      </w:r>
      <w:hyperlink r:id="rId53">
        <w:r>
          <w:rPr>
            <w:color w:val="0000FF"/>
          </w:rPr>
          <w:t>2 979 тыс. руб</w:t>
        </w:r>
      </w:hyperlink>
      <w:r>
        <w:t xml:space="preserve">. Для 2025 года она составляет </w:t>
      </w:r>
      <w:hyperlink r:id="rId54">
        <w:r>
          <w:rPr>
            <w:color w:val="0000FF"/>
          </w:rPr>
          <w:t>2 759 тыс. руб</w:t>
        </w:r>
      </w:hyperlink>
      <w:r>
        <w:t>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9" w:name="P126"/>
      <w:bookmarkEnd w:id="9"/>
      <w:r>
        <w:t>С 1 января МРОТ составит 27 093 руб.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55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Минимальная зарплата вырастет почти на 4 700 руб. На 2025 год она равна </w:t>
      </w:r>
      <w:hyperlink r:id="rId56">
        <w:r>
          <w:rPr>
            <w:color w:val="0000FF"/>
          </w:rPr>
          <w:t>22 440 руб</w:t>
        </w:r>
      </w:hyperlink>
      <w:r>
        <w:t>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10" w:name="P132"/>
      <w:bookmarkEnd w:id="10"/>
      <w:r>
        <w:t>С 1 января корректируют правила пониженных тарифов для ИТ-отрасли и радиоэлектронной промышленности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57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>Среди прочего единый пониженный тариф взносов:</w:t>
      </w:r>
    </w:p>
    <w:p w:rsidR="009E76B7" w:rsidRDefault="009E76B7">
      <w:pPr>
        <w:pStyle w:val="ConsPlusNormal"/>
        <w:spacing w:before="220"/>
        <w:jc w:val="both"/>
      </w:pPr>
      <w:r>
        <w:t xml:space="preserve">- для ИТ-организаций с 2026 года </w:t>
      </w:r>
      <w:hyperlink r:id="rId58">
        <w:r>
          <w:rPr>
            <w:color w:val="0000FF"/>
          </w:rPr>
          <w:t>увеличивают</w:t>
        </w:r>
      </w:hyperlink>
      <w:r>
        <w:t xml:space="preserve"> до 15% с сумм в рамках единой предельной величины базы. Сверх нее тариф сохранят на уровне 7,6%;</w:t>
      </w:r>
    </w:p>
    <w:p w:rsidR="009E76B7" w:rsidRDefault="009E76B7">
      <w:pPr>
        <w:pStyle w:val="ConsPlusNormal"/>
        <w:spacing w:before="220"/>
        <w:jc w:val="both"/>
      </w:pPr>
      <w:r>
        <w:t xml:space="preserve">- для организаций радиоэлектронной промышленности с выплат работникам сверх единой предельной величины базы </w:t>
      </w:r>
      <w:hyperlink r:id="rId59">
        <w:r>
          <w:rPr>
            <w:color w:val="0000FF"/>
          </w:rPr>
          <w:t>снова снижают</w:t>
        </w:r>
      </w:hyperlink>
      <w:r>
        <w:t xml:space="preserve"> до 0%.</w:t>
      </w:r>
    </w:p>
    <w:p w:rsidR="009E76B7" w:rsidRDefault="009E76B7">
      <w:pPr>
        <w:pStyle w:val="ConsPlusNormal"/>
        <w:spacing w:before="220"/>
        <w:jc w:val="both"/>
      </w:pPr>
      <w:r>
        <w:t xml:space="preserve">Также закрепляют правило: ИТ-компании и организации радиоэлектронной промышленности </w:t>
      </w:r>
      <w:hyperlink r:id="rId60">
        <w:r>
          <w:rPr>
            <w:color w:val="0000FF"/>
          </w:rPr>
          <w:t>могут применять</w:t>
        </w:r>
      </w:hyperlink>
      <w:r>
        <w:t xml:space="preserve"> пониженные тарифы с 1-го числа месяца, в котором они получили документ о госаккредитации или вошли в реестр.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11" w:name="P141"/>
      <w:bookmarkEnd w:id="11"/>
      <w:r>
        <w:t>С 1 января расходы на полис ДМС при командировке за границу освобождают от НДФЛ и взносов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61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Стоимость полиса ДМС для служебной командировки за границу </w:t>
      </w:r>
      <w:hyperlink r:id="rId62">
        <w:r>
          <w:rPr>
            <w:color w:val="0000FF"/>
          </w:rPr>
          <w:t>освобождают</w:t>
        </w:r>
      </w:hyperlink>
      <w:r>
        <w:t xml:space="preserve"> от обложения взносами. Аналогичное правило </w:t>
      </w:r>
      <w:hyperlink r:id="rId63">
        <w:r>
          <w:rPr>
            <w:color w:val="0000FF"/>
          </w:rPr>
          <w:t>закрепляют</w:t>
        </w:r>
      </w:hyperlink>
      <w:r>
        <w:t xml:space="preserve"> для НДФЛ.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12" w:name="P147"/>
      <w:bookmarkEnd w:id="12"/>
      <w:r>
        <w:t>С 1 января вводят новые коды вычетов и доходов по НДФЛ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hyperlink r:id="rId64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ФНС России от 01.09.2025 N ЕД-7-11/757@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>ФНС добавила коды вычетов: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65">
        <w:r>
          <w:rPr>
            <w:color w:val="0000FF"/>
          </w:rPr>
          <w:t>333</w:t>
        </w:r>
      </w:hyperlink>
      <w:r>
        <w:t xml:space="preserve"> - суммы, которые физлицо заплатило за свое обучение за рубежом, за обучение брата (сестры) в возрасте до 24 лет, супруга (супруги) по очной форме за границей;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66">
        <w:r>
          <w:rPr>
            <w:color w:val="0000FF"/>
          </w:rPr>
          <w:t>334</w:t>
        </w:r>
      </w:hyperlink>
      <w:r>
        <w:t xml:space="preserve"> - суммы, которые, в частности, заплатил родитель за обучение своих детей в возрасте до 24 лет за рубежом;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67">
        <w:r>
          <w:rPr>
            <w:color w:val="0000FF"/>
          </w:rPr>
          <w:t>518</w:t>
        </w:r>
      </w:hyperlink>
      <w:r>
        <w:t xml:space="preserve"> - вычет, в частности, из сумм выплат по договорам долгосрочных сбережений, заключенных с российскими НПФ.</w:t>
      </w:r>
    </w:p>
    <w:p w:rsidR="009E76B7" w:rsidRDefault="009E76B7">
      <w:pPr>
        <w:pStyle w:val="ConsPlusNormal"/>
        <w:spacing w:before="220"/>
        <w:jc w:val="both"/>
      </w:pPr>
      <w:r>
        <w:t xml:space="preserve">Коды 320 и 321 </w:t>
      </w:r>
      <w:hyperlink r:id="rId68">
        <w:r>
          <w:rPr>
            <w:color w:val="0000FF"/>
          </w:rPr>
          <w:t>остаются</w:t>
        </w:r>
      </w:hyperlink>
      <w:r>
        <w:t xml:space="preserve"> только для вычетов на обучение в России. В код 320 </w:t>
      </w:r>
      <w:hyperlink r:id="rId69">
        <w:r>
          <w:rPr>
            <w:color w:val="0000FF"/>
          </w:rPr>
          <w:t>добавили</w:t>
        </w:r>
      </w:hyperlink>
      <w:r>
        <w:t xml:space="preserve"> расходы на обучение супруга (супруги) по очной форме.</w:t>
      </w:r>
    </w:p>
    <w:p w:rsidR="009E76B7" w:rsidRDefault="009E76B7">
      <w:pPr>
        <w:pStyle w:val="ConsPlusNormal"/>
        <w:spacing w:before="220"/>
        <w:jc w:val="both"/>
      </w:pPr>
      <w:r>
        <w:t>Также ввели коды доходов: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70">
        <w:r>
          <w:rPr>
            <w:color w:val="0000FF"/>
          </w:rPr>
          <w:t>2007</w:t>
        </w:r>
      </w:hyperlink>
      <w:r>
        <w:t xml:space="preserve"> - единовременное денежное поощрение за особые заслуги на СВО, выплаченное при награждении </w:t>
      </w:r>
      <w:proofErr w:type="spellStart"/>
      <w:r>
        <w:t>госнаградами</w:t>
      </w:r>
      <w:proofErr w:type="spellEnd"/>
      <w:r>
        <w:t>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71">
        <w:r>
          <w:rPr>
            <w:color w:val="0000FF"/>
          </w:rPr>
          <w:t>1221</w:t>
        </w:r>
      </w:hyperlink>
      <w:r>
        <w:t xml:space="preserve"> - пенсионные взносы, по которым предоставили </w:t>
      </w:r>
      <w:hyperlink r:id="rId72">
        <w:r>
          <w:rPr>
            <w:color w:val="0000FF"/>
          </w:rPr>
          <w:t>социальный вычет</w:t>
        </w:r>
      </w:hyperlink>
      <w:r>
        <w:t>, который учитывают при расторжении договора негосударственного пенсионного обеспечения;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73">
        <w:r>
          <w:rPr>
            <w:color w:val="0000FF"/>
          </w:rPr>
          <w:t>1222</w:t>
        </w:r>
      </w:hyperlink>
      <w:r>
        <w:t xml:space="preserve"> - сберегательные взносы, по которым предоставили </w:t>
      </w:r>
      <w:hyperlink r:id="rId74">
        <w:r>
          <w:rPr>
            <w:color w:val="0000FF"/>
          </w:rPr>
          <w:t>социальный вычет</w:t>
        </w:r>
      </w:hyperlink>
      <w:r>
        <w:t>, который учитывают при расторжении договора долгосрочных сбережений;</w:t>
      </w:r>
    </w:p>
    <w:p w:rsidR="009E76B7" w:rsidRDefault="009E76B7">
      <w:pPr>
        <w:pStyle w:val="ConsPlusNormal"/>
        <w:spacing w:before="220"/>
        <w:jc w:val="both"/>
      </w:pPr>
      <w:r>
        <w:t xml:space="preserve">- </w:t>
      </w:r>
      <w:hyperlink r:id="rId75">
        <w:r>
          <w:rPr>
            <w:color w:val="0000FF"/>
          </w:rPr>
          <w:t>1243</w:t>
        </w:r>
      </w:hyperlink>
      <w:r>
        <w:t xml:space="preserve"> - в частности, выплаты по договорам долгосрочных сбережений, заключенных физлицами с </w:t>
      </w:r>
      <w:r>
        <w:lastRenderedPageBreak/>
        <w:t>российскими НПФ.</w:t>
      </w:r>
    </w:p>
    <w:p w:rsidR="009E76B7" w:rsidRDefault="009E76B7">
      <w:pPr>
        <w:pStyle w:val="ConsPlusNormal"/>
        <w:spacing w:before="220"/>
        <w:jc w:val="both"/>
      </w:pPr>
      <w:hyperlink r:id="rId76">
        <w:r>
          <w:rPr>
            <w:color w:val="0000FF"/>
          </w:rPr>
          <w:t>Исключили</w:t>
        </w:r>
      </w:hyperlink>
      <w:r>
        <w:t xml:space="preserve"> коды 1215 (выплаты при досрочном расторжении договоров негосударственного пенсионного обеспечения) и 3020 (проценты по вкладам в банках).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13" w:name="P163"/>
      <w:bookmarkEnd w:id="13"/>
      <w:r>
        <w:t>С 1 января повышается не облагаемый взносами и НДФЛ порог матпомощи семьям с детьми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77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23.07.2025 N 227-ФЗ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78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431-ФЗ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Единовременные выплаты (матпомощь) до 1 млн руб. на каждого ребенка освободили от </w:t>
      </w:r>
      <w:hyperlink r:id="rId79">
        <w:r>
          <w:rPr>
            <w:color w:val="0000FF"/>
          </w:rPr>
          <w:t>НДФЛ</w:t>
        </w:r>
      </w:hyperlink>
      <w:r>
        <w:t xml:space="preserve"> и </w:t>
      </w:r>
      <w:hyperlink r:id="rId80">
        <w:r>
          <w:rPr>
            <w:color w:val="0000FF"/>
          </w:rPr>
          <w:t>страховых взносов</w:t>
        </w:r>
      </w:hyperlink>
      <w:r>
        <w:t xml:space="preserve"> (в т.ч. </w:t>
      </w:r>
      <w:hyperlink r:id="rId81">
        <w:r>
          <w:rPr>
            <w:color w:val="0000FF"/>
          </w:rPr>
          <w:t>взносов на травматизм</w:t>
        </w:r>
      </w:hyperlink>
      <w:r>
        <w:t>). Речь идет о поддержке, которую работодатели оказывают работникам в течение первого года после рождения, усыновления ребенка или установления опеки над ним. По прежней редакции лимит необлагаемых сумм - 50 тыс. руб.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  <w:jc w:val="both"/>
            </w:pPr>
            <w:r>
              <w:t xml:space="preserve">См. также готовое решение </w:t>
            </w:r>
            <w:hyperlink r:id="rId82">
              <w:r>
                <w:rPr>
                  <w:color w:val="0000FF"/>
                </w:rPr>
                <w:t>"Как облагается НДФЛ материальная помощь"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center"/>
        <w:outlineLvl w:val="0"/>
      </w:pPr>
      <w:bookmarkStart w:id="14" w:name="P172"/>
      <w:bookmarkEnd w:id="14"/>
      <w:r>
        <w:t>НДС. НАЛОГ НА ПРИБЫЛЬ. УСН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r>
        <w:t>Не позднее 25 марта нужно подать декларацию по налогу на прибыль по новой форме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hyperlink r:id="rId83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ФНС России от 03.10.2025 N ЕД-7-3/855@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Почти все изменения </w:t>
      </w:r>
      <w:hyperlink r:id="rId84">
        <w:r>
          <w:rPr>
            <w:color w:val="0000FF"/>
          </w:rPr>
          <w:t>нужно применять</w:t>
        </w:r>
      </w:hyperlink>
      <w:r>
        <w:t xml:space="preserve"> с отчетности за 2025 год. Среди новшеств можно выделить такие:</w:t>
      </w:r>
    </w:p>
    <w:p w:rsidR="009E76B7" w:rsidRDefault="009E76B7">
      <w:pPr>
        <w:pStyle w:val="ConsPlusNormal"/>
        <w:spacing w:before="220"/>
        <w:jc w:val="both"/>
      </w:pPr>
      <w:r>
        <w:t>- появился новый лист 05.1 для операций с цифровой валютой;</w:t>
      </w:r>
    </w:p>
    <w:p w:rsidR="009E76B7" w:rsidRDefault="009E76B7">
      <w:pPr>
        <w:pStyle w:val="ConsPlusNormal"/>
        <w:spacing w:before="220"/>
        <w:jc w:val="both"/>
      </w:pPr>
      <w:r>
        <w:t>- в лист 08 "Корректировки, связанные с ценообразованием</w:t>
      </w:r>
      <w:proofErr w:type="gramStart"/>
      <w:r>
        <w:t>"</w:t>
      </w:r>
      <w:proofErr w:type="gramEnd"/>
      <w:r>
        <w:t xml:space="preserve"> включили поле, где отражают уникальный номер контракта (кредитного договора), который присваивает банк. Этот номер должен соответствовать договору, сведения о котором отразили в реквизитах "Номер договора" и "Дата договора" при внешнеторговых сделках;</w:t>
      </w:r>
    </w:p>
    <w:p w:rsidR="009E76B7" w:rsidRDefault="009E76B7">
      <w:pPr>
        <w:pStyle w:val="ConsPlusNormal"/>
        <w:spacing w:before="220"/>
        <w:jc w:val="both"/>
      </w:pPr>
      <w:r>
        <w:t>- из листа 02 "Расчет суммы налога" исключили строки 130, 170, 171 о налоге в региональный бюджет.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15" w:name="P183"/>
      <w:bookmarkEnd w:id="15"/>
      <w:r>
        <w:t>С 1 января повышают ставку НДС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85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Основную ставку НДС увеличивают с 20 до </w:t>
      </w:r>
      <w:hyperlink r:id="rId86">
        <w:r>
          <w:rPr>
            <w:color w:val="0000FF"/>
          </w:rPr>
          <w:t>22%</w:t>
        </w:r>
      </w:hyperlink>
      <w:r>
        <w:t xml:space="preserve">. Применять новую ставку станут к товарам, работам, услугам и имущественным правам, которые отгрузили, выполнили, оказали или передали </w:t>
      </w:r>
      <w:hyperlink r:id="rId87">
        <w:r>
          <w:rPr>
            <w:color w:val="0000FF"/>
          </w:rPr>
          <w:t>с 1 января 2026 года</w:t>
        </w:r>
      </w:hyperlink>
      <w:r>
        <w:t>. Пониженные ставки и условия их применения не изменяют.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  <w:jc w:val="both"/>
            </w:pPr>
            <w:r>
              <w:t xml:space="preserve">См. также готовое решение </w:t>
            </w:r>
            <w:hyperlink r:id="rId88">
              <w:r>
                <w:rPr>
                  <w:color w:val="0000FF"/>
                </w:rPr>
                <w:t>"Что учесть в связи с увеличением ставки НДС до 22% с 1 января 2026 года"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16" w:name="P191"/>
      <w:bookmarkEnd w:id="16"/>
      <w:r>
        <w:t>С 1 января снижают предельный размер доходов на УСН для освобождения от обязанностей плательщика НДС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89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Начинают поэтапно сокращать предельный размер дохода для УСН, при превышении которого надо платить НДС. Так, чтобы применять освобождение с 1 января 2026 года, доходы за 2025 год не должны превышать </w:t>
      </w:r>
      <w:hyperlink r:id="rId90">
        <w:r>
          <w:rPr>
            <w:color w:val="0000FF"/>
          </w:rPr>
          <w:t>20 млн руб</w:t>
        </w:r>
      </w:hyperlink>
      <w:r>
        <w:t xml:space="preserve">. </w:t>
      </w:r>
      <w:hyperlink r:id="rId91">
        <w:r>
          <w:rPr>
            <w:color w:val="0000FF"/>
          </w:rPr>
          <w:t>Тот же лимит</w:t>
        </w:r>
      </w:hyperlink>
      <w:r>
        <w:t xml:space="preserve"> доходов в течение года действует для утраты права на освобождение.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17" w:name="P197"/>
      <w:bookmarkEnd w:id="17"/>
      <w:r>
        <w:t>С 1 января обязательных реквизитов счетов-фактур становится больше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92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Помимо прочего </w:t>
      </w:r>
      <w:hyperlink r:id="rId93">
        <w:r>
          <w:rPr>
            <w:color w:val="0000FF"/>
          </w:rPr>
          <w:t>нужно указывать</w:t>
        </w:r>
      </w:hyperlink>
      <w:r>
        <w:t xml:space="preserve"> порядковый номер и дату счета-фактуры, выставленного при получении аванса.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18" w:name="P203"/>
      <w:bookmarkEnd w:id="18"/>
      <w:r>
        <w:t>С 1 января расширяют перечень сомнительных долгов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94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Сомнительным </w:t>
      </w:r>
      <w:hyperlink r:id="rId95">
        <w:r>
          <w:rPr>
            <w:color w:val="0000FF"/>
          </w:rPr>
          <w:t>разрешают признавать</w:t>
        </w:r>
      </w:hyperlink>
      <w:r>
        <w:t xml:space="preserve"> долг по штрафам, пеням и санкциям, подтвержденный судом по договорам, задолженность по которым также сомнительная. Речь идет о долге, возникшем при реализации товаров, выполнении работ или оказании услуг.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  <w:jc w:val="both"/>
            </w:pPr>
            <w:r>
              <w:t xml:space="preserve">См. также готовое решение </w:t>
            </w:r>
            <w:hyperlink r:id="rId96">
              <w:r>
                <w:rPr>
                  <w:color w:val="0000FF"/>
                </w:rPr>
                <w:t>"Как создать и использовать резерв по сомнительным долгам в налоговом учете"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19" w:name="P211"/>
      <w:bookmarkEnd w:id="19"/>
      <w:r>
        <w:t>С 1 января расширяют перечень расходов, учитываемых при УСН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97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В перечень затрат </w:t>
      </w:r>
      <w:hyperlink r:id="rId98">
        <w:r>
          <w:rPr>
            <w:color w:val="0000FF"/>
          </w:rPr>
          <w:t>добавляют</w:t>
        </w:r>
      </w:hyperlink>
      <w:r>
        <w:t>:</w:t>
      </w:r>
    </w:p>
    <w:p w:rsidR="009E76B7" w:rsidRDefault="009E76B7">
      <w:pPr>
        <w:pStyle w:val="ConsPlusNormal"/>
        <w:spacing w:before="220"/>
        <w:jc w:val="both"/>
      </w:pPr>
      <w:r>
        <w:t>- расходы, в частности, на дооборудование, реконструкцию, модернизацию НМА;</w:t>
      </w:r>
    </w:p>
    <w:p w:rsidR="009E76B7" w:rsidRDefault="009E76B7">
      <w:pPr>
        <w:pStyle w:val="ConsPlusNormal"/>
        <w:spacing w:before="220"/>
        <w:jc w:val="both"/>
      </w:pPr>
      <w:r>
        <w:t>- иные расходы, которые нужно определять как для налога на прибыль. Таким образом, перечень делают открытым.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20" w:name="P219"/>
      <w:bookmarkEnd w:id="20"/>
      <w:r>
        <w:t>С 1 января работодатель вправе учесть в расходах матпомощь семьям с детьми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99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23.07.2025 N 227-ФЗ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Единовременные выплаты (матпомощь) до 1 млн руб. на каждого ребенка, которые освободили от НДФЛ и страховых взносов, </w:t>
      </w:r>
      <w:hyperlink r:id="rId100">
        <w:r>
          <w:rPr>
            <w:color w:val="0000FF"/>
          </w:rPr>
          <w:t>можно учесть</w:t>
        </w:r>
      </w:hyperlink>
      <w:r>
        <w:t xml:space="preserve"> во внереализационных расходах. Речь идет о поддержке, </w:t>
      </w:r>
      <w:r>
        <w:lastRenderedPageBreak/>
        <w:t>которую работодатели оказывают работникам в течение первого года после рождения, усыновления ребенка или установления опеки над ним.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21" w:name="P225"/>
      <w:bookmarkEnd w:id="21"/>
      <w:r>
        <w:t>С 1 января УПД становится основным электронным документом для подтверждения отгрузки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hyperlink r:id="rId101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ФНС России от 20.01.2025 N ЕД-7-26/28@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hyperlink r:id="rId102">
              <w:r>
                <w:rPr>
                  <w:color w:val="0000FF"/>
                  <w:sz w:val="18"/>
                </w:rPr>
                <w:t>Информация</w:t>
              </w:r>
            </w:hyperlink>
            <w:r>
              <w:rPr>
                <w:sz w:val="18"/>
              </w:rPr>
              <w:t xml:space="preserve"> ФНС России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hyperlink r:id="rId103">
              <w:r>
                <w:rPr>
                  <w:color w:val="0000FF"/>
                  <w:sz w:val="18"/>
                </w:rPr>
                <w:t>Информация</w:t>
              </w:r>
            </w:hyperlink>
            <w:r>
              <w:rPr>
                <w:sz w:val="18"/>
              </w:rPr>
              <w:t xml:space="preserve"> ФНС России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С начала года </w:t>
      </w:r>
      <w:hyperlink r:id="rId104">
        <w:r>
          <w:rPr>
            <w:color w:val="0000FF"/>
          </w:rPr>
          <w:t>прекращают действовать</w:t>
        </w:r>
      </w:hyperlink>
      <w:r>
        <w:t xml:space="preserve"> форматы:</w:t>
      </w:r>
    </w:p>
    <w:p w:rsidR="009E76B7" w:rsidRDefault="009E76B7">
      <w:pPr>
        <w:pStyle w:val="ConsPlusNormal"/>
        <w:spacing w:before="220"/>
        <w:jc w:val="both"/>
      </w:pPr>
      <w:r>
        <w:t>- документа о передаче товаров при торговых операциях;</w:t>
      </w:r>
    </w:p>
    <w:p w:rsidR="009E76B7" w:rsidRDefault="009E76B7">
      <w:pPr>
        <w:pStyle w:val="ConsPlusNormal"/>
        <w:spacing w:before="220"/>
        <w:jc w:val="both"/>
      </w:pPr>
      <w:r>
        <w:t>- акта выполненных работ и оказанных услуг.</w:t>
      </w:r>
    </w:p>
    <w:p w:rsidR="009E76B7" w:rsidRDefault="009E76B7">
      <w:pPr>
        <w:pStyle w:val="ConsPlusNormal"/>
        <w:spacing w:before="220"/>
        <w:jc w:val="both"/>
      </w:pPr>
      <w:r>
        <w:t xml:space="preserve">ФНС </w:t>
      </w:r>
      <w:hyperlink r:id="rId105">
        <w:r>
          <w:rPr>
            <w:color w:val="0000FF"/>
          </w:rPr>
          <w:t>рекомендует использовать</w:t>
        </w:r>
      </w:hyperlink>
      <w:r>
        <w:t xml:space="preserve"> электронный </w:t>
      </w:r>
      <w:hyperlink r:id="rId106">
        <w:r>
          <w:rPr>
            <w:color w:val="0000FF"/>
          </w:rPr>
          <w:t>УПД</w:t>
        </w:r>
      </w:hyperlink>
      <w:r>
        <w:t xml:space="preserve"> для подтверждения отгрузки товаров, выполнения работ или оказания услуг уже сейчас. </w:t>
      </w:r>
      <w:proofErr w:type="spellStart"/>
      <w:r>
        <w:t>Проактивная</w:t>
      </w:r>
      <w:proofErr w:type="spellEnd"/>
      <w:r>
        <w:t xml:space="preserve"> подготовка предотвратит необходимость спешно внедрять новый формат и облегчит переход на новый режим работы.</w:t>
      </w:r>
    </w:p>
    <w:p w:rsidR="009E76B7" w:rsidRDefault="009E76B7">
      <w:pPr>
        <w:pStyle w:val="ConsPlusNormal"/>
        <w:spacing w:before="220"/>
        <w:jc w:val="both"/>
      </w:pPr>
      <w:r>
        <w:t xml:space="preserve">Также ФНС </w:t>
      </w:r>
      <w:hyperlink r:id="rId107">
        <w:r>
          <w:rPr>
            <w:color w:val="0000FF"/>
          </w:rPr>
          <w:t>отметила</w:t>
        </w:r>
      </w:hyperlink>
      <w:r>
        <w:t>:</w:t>
      </w:r>
    </w:p>
    <w:p w:rsidR="009E76B7" w:rsidRDefault="009E76B7">
      <w:pPr>
        <w:pStyle w:val="ConsPlusNormal"/>
        <w:spacing w:before="220"/>
        <w:jc w:val="both"/>
      </w:pPr>
      <w:r>
        <w:t>- изменения затронут только тех, кто до 2026 года принимал и отправлял товарные накладные и акты по отменяемым форматам;</w:t>
      </w:r>
    </w:p>
    <w:p w:rsidR="009E76B7" w:rsidRDefault="009E76B7">
      <w:pPr>
        <w:pStyle w:val="ConsPlusNormal"/>
        <w:spacing w:before="220"/>
        <w:jc w:val="both"/>
      </w:pPr>
      <w:r>
        <w:t>- создавать акты и товарные накладные в электронной форме можно с помощью формата УПД. Он объединяет первичку и счет-фактуру. Его можно использовать для формирования товарной накладной и акта оказанных услуг, выполненных работ вместе со счетом-фактурой либо раздельно с ним;</w:t>
      </w:r>
    </w:p>
    <w:p w:rsidR="009E76B7" w:rsidRDefault="009E76B7">
      <w:pPr>
        <w:pStyle w:val="ConsPlusNormal"/>
        <w:spacing w:before="220"/>
        <w:jc w:val="both"/>
      </w:pPr>
      <w:r>
        <w:t>- создавать первичку как в виде неформализованных электронных документов, так и на бумаге можно и после 1 января. Бумажные формы товарной накладной и акта не отменяют. Если, к примеру, сейчас вы обмениваетесь бумажными актами и электронными счетами-фактурами, то сможете делать это и в 2026 году.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  <w:jc w:val="both"/>
            </w:pPr>
            <w:r>
              <w:t xml:space="preserve">См. также готовое решение </w:t>
            </w:r>
            <w:hyperlink r:id="rId108">
              <w:r>
                <w:rPr>
                  <w:color w:val="0000FF"/>
                </w:rPr>
                <w:t>"Как применять УПД"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22" w:name="P242"/>
      <w:bookmarkEnd w:id="22"/>
      <w:r>
        <w:t>С 1 января индексируют лимиты при УСН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hyperlink r:id="rId109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Минэкономразвития России от 06.11.2025 N 734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>Индексируют:</w:t>
      </w:r>
    </w:p>
    <w:p w:rsidR="009E76B7" w:rsidRDefault="009E76B7">
      <w:pPr>
        <w:pStyle w:val="ConsPlusNormal"/>
        <w:spacing w:before="220"/>
        <w:jc w:val="both"/>
      </w:pPr>
      <w:r>
        <w:t>- порог доходов для применения УСН - до 490,5 млн руб.;</w:t>
      </w:r>
    </w:p>
    <w:p w:rsidR="009E76B7" w:rsidRDefault="009E76B7">
      <w:pPr>
        <w:pStyle w:val="ConsPlusNormal"/>
        <w:spacing w:before="220"/>
        <w:jc w:val="both"/>
      </w:pPr>
      <w:r>
        <w:t>- порог по остаточной стоимости ОС - до 218 млн руб.</w:t>
      </w:r>
    </w:p>
    <w:p w:rsidR="009E76B7" w:rsidRDefault="009E76B7">
      <w:pPr>
        <w:pStyle w:val="ConsPlusNormal"/>
        <w:spacing w:before="220"/>
        <w:jc w:val="both"/>
      </w:pPr>
      <w:r>
        <w:t>Размер коэффициента - 1,090.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center"/>
        <w:outlineLvl w:val="0"/>
      </w:pPr>
      <w:bookmarkStart w:id="23" w:name="P251"/>
      <w:bookmarkEnd w:id="23"/>
      <w:r>
        <w:t>ТЕХНОЛОГИЧЕСКИЙ СБОР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Title"/>
        <w:jc w:val="both"/>
        <w:outlineLvl w:val="1"/>
      </w:pPr>
      <w:bookmarkStart w:id="24" w:name="P253"/>
      <w:bookmarkEnd w:id="24"/>
      <w:r>
        <w:t>С 1 сентября вводят технологический сбор</w:t>
      </w:r>
    </w:p>
    <w:p w:rsidR="009E76B7" w:rsidRDefault="009E76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9E76B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76B7" w:rsidRDefault="009E76B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76B7" w:rsidRDefault="009E76B7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10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6B7" w:rsidRDefault="009E76B7">
            <w:pPr>
              <w:pStyle w:val="ConsPlusNormal"/>
            </w:pPr>
          </w:p>
        </w:tc>
      </w:tr>
    </w:tbl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  <w:r>
        <w:t xml:space="preserve">Сбор </w:t>
      </w:r>
      <w:hyperlink r:id="rId111">
        <w:r>
          <w:rPr>
            <w:color w:val="0000FF"/>
          </w:rPr>
          <w:t>должны платить</w:t>
        </w:r>
      </w:hyperlink>
      <w:r>
        <w:t xml:space="preserve"> организации и ИП, которые:</w:t>
      </w:r>
    </w:p>
    <w:p w:rsidR="009E76B7" w:rsidRDefault="009E76B7">
      <w:pPr>
        <w:pStyle w:val="ConsPlusNormal"/>
        <w:spacing w:before="220"/>
        <w:jc w:val="both"/>
      </w:pPr>
      <w:r>
        <w:t>- ввозят в РФ электронную компонентную базу (электронные модули) или продукцию с ее содержанием;</w:t>
      </w:r>
    </w:p>
    <w:p w:rsidR="009E76B7" w:rsidRDefault="009E76B7">
      <w:pPr>
        <w:pStyle w:val="ConsPlusNormal"/>
        <w:spacing w:before="220"/>
        <w:jc w:val="both"/>
      </w:pPr>
      <w:r>
        <w:t>- производят в России такую продукцию.</w:t>
      </w:r>
    </w:p>
    <w:p w:rsidR="009E76B7" w:rsidRDefault="009E76B7">
      <w:pPr>
        <w:pStyle w:val="ConsPlusNormal"/>
        <w:spacing w:before="220"/>
        <w:jc w:val="both"/>
      </w:pPr>
      <w:r>
        <w:t>Перечни утвердит правительство.</w:t>
      </w:r>
    </w:p>
    <w:p w:rsidR="009E76B7" w:rsidRDefault="009E76B7">
      <w:pPr>
        <w:pStyle w:val="ConsPlusNormal"/>
        <w:spacing w:before="220"/>
        <w:jc w:val="both"/>
      </w:pPr>
      <w:r>
        <w:t xml:space="preserve">Сбор нужно будет платить за каждую единицу продукции. Порядок уплаты и размер сбора также установит правительство. Максимальный сбор - </w:t>
      </w:r>
      <w:hyperlink r:id="rId112">
        <w:r>
          <w:rPr>
            <w:color w:val="0000FF"/>
          </w:rPr>
          <w:t>5 000 руб</w:t>
        </w:r>
      </w:hyperlink>
      <w:r>
        <w:t>.</w:t>
      </w: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jc w:val="both"/>
      </w:pPr>
    </w:p>
    <w:p w:rsidR="009E76B7" w:rsidRDefault="009E76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1001" w:rsidRDefault="00A11001"/>
    <w:sectPr w:rsidR="00A11001" w:rsidSect="00FB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28"/>
  <w:drawingGridVerticalSpacing w:val="28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B7"/>
    <w:rsid w:val="007561B1"/>
    <w:rsid w:val="009E76B7"/>
    <w:rsid w:val="00A11001"/>
    <w:rsid w:val="00C44DB7"/>
    <w:rsid w:val="00C50A70"/>
    <w:rsid w:val="00D3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39D6"/>
  <w15:chartTrackingRefBased/>
  <w15:docId w15:val="{0F1AC630-0E58-4F1A-BA67-D190ED77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0020&amp;dst=100133" TargetMode="External"/><Relationship Id="rId21" Type="http://schemas.openxmlformats.org/officeDocument/2006/relationships/hyperlink" Target="https://login.consultant.ru/link/?req=doc&amp;base=LAW&amp;n=520020&amp;dst=100291" TargetMode="External"/><Relationship Id="rId42" Type="http://schemas.openxmlformats.org/officeDocument/2006/relationships/image" Target="media/image2.png"/><Relationship Id="rId47" Type="http://schemas.openxmlformats.org/officeDocument/2006/relationships/hyperlink" Target="https://login.consultant.ru/link/?req=doc&amp;base=LAW&amp;n=442879&amp;dst=5" TargetMode="External"/><Relationship Id="rId63" Type="http://schemas.openxmlformats.org/officeDocument/2006/relationships/hyperlink" Target="https://login.consultant.ru/link/?req=doc&amp;base=LAW&amp;n=520020&amp;dst=100888" TargetMode="External"/><Relationship Id="rId68" Type="http://schemas.openxmlformats.org/officeDocument/2006/relationships/hyperlink" Target="https://login.consultant.ru/link/?req=doc&amp;base=LAW&amp;n=519763&amp;dst=100035" TargetMode="External"/><Relationship Id="rId84" Type="http://schemas.openxmlformats.org/officeDocument/2006/relationships/hyperlink" Target="https://login.consultant.ru/link/?req=doc&amp;base=LAW&amp;n=517878&amp;dst=100017" TargetMode="External"/><Relationship Id="rId89" Type="http://schemas.openxmlformats.org/officeDocument/2006/relationships/hyperlink" Target="https://login.consultant.ru/link/?req=doc&amp;base=LAW&amp;n=520020&amp;dst=100417" TargetMode="External"/><Relationship Id="rId112" Type="http://schemas.openxmlformats.org/officeDocument/2006/relationships/hyperlink" Target="https://login.consultant.ru/link/?req=doc&amp;base=LAW&amp;n=520020&amp;dst=1017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6200&amp;dst=100062" TargetMode="External"/><Relationship Id="rId29" Type="http://schemas.openxmlformats.org/officeDocument/2006/relationships/hyperlink" Target="https://login.consultant.ru/link/?req=doc&amp;base=LAW&amp;n=482529&amp;dst=100014" TargetMode="External"/><Relationship Id="rId107" Type="http://schemas.openxmlformats.org/officeDocument/2006/relationships/hyperlink" Target="https://login.consultant.ru/link/?req=doc&amp;base=LAW&amp;n=514239&amp;dst=100004" TargetMode="External"/><Relationship Id="rId11" Type="http://schemas.openxmlformats.org/officeDocument/2006/relationships/hyperlink" Target="https://login.consultant.ru/link/?req=doc&amp;base=LAW&amp;n=520119&amp;dst=893" TargetMode="External"/><Relationship Id="rId24" Type="http://schemas.openxmlformats.org/officeDocument/2006/relationships/hyperlink" Target="https://login.consultant.ru/link/?req=doc&amp;base=LAW&amp;n=520020&amp;dst=100133" TargetMode="External"/><Relationship Id="rId32" Type="http://schemas.openxmlformats.org/officeDocument/2006/relationships/hyperlink" Target="https://login.consultant.ru/link/?req=doc&amp;base=PNPA&amp;n=116445&amp;dst=100013" TargetMode="External"/><Relationship Id="rId37" Type="http://schemas.openxmlformats.org/officeDocument/2006/relationships/hyperlink" Target="https://login.consultant.ru/link/?req=doc&amp;base=LAW&amp;n=460488&amp;dst=101289" TargetMode="External"/><Relationship Id="rId40" Type="http://schemas.openxmlformats.org/officeDocument/2006/relationships/hyperlink" Target="https://login.consultant.ru/link/?req=doc&amp;base=LAW&amp;n=460488&amp;dst=100018" TargetMode="External"/><Relationship Id="rId45" Type="http://schemas.openxmlformats.org/officeDocument/2006/relationships/hyperlink" Target="https://login.consultant.ru/link/?req=doc&amp;base=LAW&amp;n=516657&amp;dst=100022" TargetMode="External"/><Relationship Id="rId53" Type="http://schemas.openxmlformats.org/officeDocument/2006/relationships/hyperlink" Target="https://login.consultant.ru/link/?req=doc&amp;base=LAW&amp;n=518016&amp;dst=100005" TargetMode="External"/><Relationship Id="rId58" Type="http://schemas.openxmlformats.org/officeDocument/2006/relationships/hyperlink" Target="https://login.consultant.ru/link/?req=doc&amp;base=LAW&amp;n=520020&amp;dst=101679" TargetMode="External"/><Relationship Id="rId66" Type="http://schemas.openxmlformats.org/officeDocument/2006/relationships/hyperlink" Target="https://login.consultant.ru/link/?req=doc&amp;base=LAW&amp;n=519763&amp;dst=100040" TargetMode="External"/><Relationship Id="rId74" Type="http://schemas.openxmlformats.org/officeDocument/2006/relationships/hyperlink" Target="https://login.consultant.ru/link/?req=doc&amp;base=LAW&amp;n=520175&amp;dst=27585" TargetMode="External"/><Relationship Id="rId79" Type="http://schemas.openxmlformats.org/officeDocument/2006/relationships/hyperlink" Target="https://login.consultant.ru/link/?req=doc&amp;base=LAW&amp;n=510523&amp;dst=100044" TargetMode="External"/><Relationship Id="rId87" Type="http://schemas.openxmlformats.org/officeDocument/2006/relationships/hyperlink" Target="https://login.consultant.ru/link/?req=doc&amp;base=LAW&amp;n=520020&amp;dst=101852" TargetMode="External"/><Relationship Id="rId102" Type="http://schemas.openxmlformats.org/officeDocument/2006/relationships/hyperlink" Target="https://login.consultant.ru/link/?req=doc&amp;base=LAW&amp;n=512532&amp;dst=100004" TargetMode="External"/><Relationship Id="rId110" Type="http://schemas.openxmlformats.org/officeDocument/2006/relationships/hyperlink" Target="https://login.consultant.ru/link/?req=doc&amp;base=LAW&amp;n=520020&amp;dst=101742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login.consultant.ru/link/?req=doc&amp;base=LAW&amp;n=520020&amp;dst=100415" TargetMode="External"/><Relationship Id="rId82" Type="http://schemas.openxmlformats.org/officeDocument/2006/relationships/hyperlink" Target="https://login.consultant.ru/link/?req=doc&amp;base=GRZN&amp;n=41" TargetMode="External"/><Relationship Id="rId90" Type="http://schemas.openxmlformats.org/officeDocument/2006/relationships/hyperlink" Target="https://login.consultant.ru/link/?req=doc&amp;base=LAW&amp;n=520020&amp;dst=100418" TargetMode="External"/><Relationship Id="rId95" Type="http://schemas.openxmlformats.org/officeDocument/2006/relationships/hyperlink" Target="https://login.consultant.ru/link/?req=doc&amp;base=LAW&amp;n=520020&amp;dst=101013" TargetMode="External"/><Relationship Id="rId19" Type="http://schemas.openxmlformats.org/officeDocument/2006/relationships/hyperlink" Target="https://login.consultant.ru/link/?req=doc&amp;base=LAW&amp;n=520020&amp;dst=100307" TargetMode="External"/><Relationship Id="rId14" Type="http://schemas.openxmlformats.org/officeDocument/2006/relationships/hyperlink" Target="https://login.consultant.ru/link/?req=doc&amp;base=LAW&amp;n=520020&amp;dst=100249" TargetMode="External"/><Relationship Id="rId22" Type="http://schemas.openxmlformats.org/officeDocument/2006/relationships/hyperlink" Target="https://login.consultant.ru/link/?req=doc&amp;base=QUEST&amp;n=230848&amp;dst=100012" TargetMode="External"/><Relationship Id="rId27" Type="http://schemas.openxmlformats.org/officeDocument/2006/relationships/hyperlink" Target="https://login.consultant.ru/link/?req=doc&amp;base=LAW&amp;n=482529&amp;dst=100014" TargetMode="External"/><Relationship Id="rId30" Type="http://schemas.openxmlformats.org/officeDocument/2006/relationships/hyperlink" Target="https://login.consultant.ru/link/?req=doc&amp;base=LAW&amp;n=482529&amp;dst=100751" TargetMode="External"/><Relationship Id="rId35" Type="http://schemas.openxmlformats.org/officeDocument/2006/relationships/hyperlink" Target="https://login.consultant.ru/link/?req=doc&amp;base=LAW&amp;n=460488&amp;dst=100043" TargetMode="External"/><Relationship Id="rId43" Type="http://schemas.openxmlformats.org/officeDocument/2006/relationships/hyperlink" Target="https://login.consultant.ru/link/?req=doc&amp;base=PBI&amp;n=278240" TargetMode="External"/><Relationship Id="rId48" Type="http://schemas.openxmlformats.org/officeDocument/2006/relationships/hyperlink" Target="https://login.consultant.ru/link/?req=doc&amp;base=LAW&amp;n=516657&amp;dst=100047" TargetMode="External"/><Relationship Id="rId56" Type="http://schemas.openxmlformats.org/officeDocument/2006/relationships/hyperlink" Target="https://login.consultant.ru/link/?req=doc&amp;base=LAW&amp;n=489264&amp;dst=100009" TargetMode="External"/><Relationship Id="rId64" Type="http://schemas.openxmlformats.org/officeDocument/2006/relationships/hyperlink" Target="https://login.consultant.ru/link/?req=doc&amp;base=LAW&amp;n=519763&amp;dst=100007" TargetMode="External"/><Relationship Id="rId69" Type="http://schemas.openxmlformats.org/officeDocument/2006/relationships/hyperlink" Target="https://login.consultant.ru/link/?req=doc&amp;base=LAW&amp;n=519763&amp;dst=100034" TargetMode="External"/><Relationship Id="rId77" Type="http://schemas.openxmlformats.org/officeDocument/2006/relationships/hyperlink" Target="https://login.consultant.ru/link/?req=doc&amp;base=LAW&amp;n=510523&amp;dst=100044" TargetMode="External"/><Relationship Id="rId100" Type="http://schemas.openxmlformats.org/officeDocument/2006/relationships/hyperlink" Target="https://login.consultant.ru/link/?req=doc&amp;base=LAW&amp;n=510523&amp;dst=100051" TargetMode="External"/><Relationship Id="rId105" Type="http://schemas.openxmlformats.org/officeDocument/2006/relationships/hyperlink" Target="https://login.consultant.ru/link/?req=doc&amp;base=LAW&amp;n=512532&amp;dst=100004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0020&amp;dst=100316" TargetMode="External"/><Relationship Id="rId51" Type="http://schemas.openxmlformats.org/officeDocument/2006/relationships/hyperlink" Target="https://login.consultant.ru/link/?req=doc&amp;base=PBI&amp;n=353059" TargetMode="External"/><Relationship Id="rId72" Type="http://schemas.openxmlformats.org/officeDocument/2006/relationships/hyperlink" Target="https://login.consultant.ru/link/?req=doc&amp;base=LAW&amp;n=520175&amp;dst=25428" TargetMode="External"/><Relationship Id="rId80" Type="http://schemas.openxmlformats.org/officeDocument/2006/relationships/hyperlink" Target="https://login.consultant.ru/link/?req=doc&amp;base=LAW&amp;n=510523&amp;dst=100067" TargetMode="External"/><Relationship Id="rId85" Type="http://schemas.openxmlformats.org/officeDocument/2006/relationships/hyperlink" Target="https://login.consultant.ru/link/?req=doc&amp;base=LAW&amp;n=520020&amp;dst=100461" TargetMode="External"/><Relationship Id="rId93" Type="http://schemas.openxmlformats.org/officeDocument/2006/relationships/hyperlink" Target="https://login.consultant.ru/link/?req=doc&amp;base=LAW&amp;n=520020&amp;dst=100484" TargetMode="External"/><Relationship Id="rId98" Type="http://schemas.openxmlformats.org/officeDocument/2006/relationships/hyperlink" Target="https://login.consultant.ru/link/?req=doc&amp;base=LAW&amp;n=520020&amp;dst=10143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0020&amp;dst=100249" TargetMode="External"/><Relationship Id="rId17" Type="http://schemas.openxmlformats.org/officeDocument/2006/relationships/hyperlink" Target="https://login.consultant.ru/link/?req=doc&amp;base=LAW&amp;n=506200&amp;dst=100104" TargetMode="External"/><Relationship Id="rId25" Type="http://schemas.openxmlformats.org/officeDocument/2006/relationships/hyperlink" Target="https://login.consultant.ru/link/?req=doc&amp;base=QUEST&amp;n=234244&amp;dst=100013" TargetMode="External"/><Relationship Id="rId33" Type="http://schemas.openxmlformats.org/officeDocument/2006/relationships/hyperlink" Target="https://login.consultant.ru/link/?req=doc&amp;base=LAW&amp;n=296276&amp;dst=100086" TargetMode="External"/><Relationship Id="rId38" Type="http://schemas.openxmlformats.org/officeDocument/2006/relationships/hyperlink" Target="https://login.consultant.ru/link/?req=doc&amp;base=LAW&amp;n=460488&amp;dst=101569" TargetMode="External"/><Relationship Id="rId46" Type="http://schemas.openxmlformats.org/officeDocument/2006/relationships/hyperlink" Target="https://login.consultant.ru/link/?req=doc&amp;base=LAW&amp;n=516657&amp;dst=100031" TargetMode="External"/><Relationship Id="rId59" Type="http://schemas.openxmlformats.org/officeDocument/2006/relationships/hyperlink" Target="https://login.consultant.ru/link/?req=doc&amp;base=LAW&amp;n=520020&amp;dst=101676" TargetMode="External"/><Relationship Id="rId67" Type="http://schemas.openxmlformats.org/officeDocument/2006/relationships/hyperlink" Target="https://login.consultant.ru/link/?req=doc&amp;base=LAW&amp;n=519763&amp;dst=100045" TargetMode="External"/><Relationship Id="rId103" Type="http://schemas.openxmlformats.org/officeDocument/2006/relationships/hyperlink" Target="https://login.consultant.ru/link/?req=doc&amp;base=LAW&amp;n=514239" TargetMode="External"/><Relationship Id="rId108" Type="http://schemas.openxmlformats.org/officeDocument/2006/relationships/hyperlink" Target="https://login.consultant.ru/link/?req=doc&amp;base=PBI&amp;n=243435" TargetMode="External"/><Relationship Id="rId20" Type="http://schemas.openxmlformats.org/officeDocument/2006/relationships/hyperlink" Target="https://login.consultant.ru/link/?req=doc&amp;base=LAW&amp;n=520020&amp;dst=100310" TargetMode="External"/><Relationship Id="rId41" Type="http://schemas.openxmlformats.org/officeDocument/2006/relationships/hyperlink" Target="https://login.consultant.ru/link/?req=doc&amp;base=LAW&amp;n=460488&amp;dst=100036" TargetMode="External"/><Relationship Id="rId54" Type="http://schemas.openxmlformats.org/officeDocument/2006/relationships/hyperlink" Target="https://login.consultant.ru/link/?req=doc&amp;base=LAW&amp;n=489693&amp;dst=100005" TargetMode="External"/><Relationship Id="rId62" Type="http://schemas.openxmlformats.org/officeDocument/2006/relationships/hyperlink" Target="https://login.consultant.ru/link/?req=doc&amp;base=LAW&amp;n=520020&amp;dst=101669" TargetMode="External"/><Relationship Id="rId70" Type="http://schemas.openxmlformats.org/officeDocument/2006/relationships/hyperlink" Target="https://login.consultant.ru/link/?req=doc&amp;base=LAW&amp;n=519763&amp;dst=100017" TargetMode="External"/><Relationship Id="rId75" Type="http://schemas.openxmlformats.org/officeDocument/2006/relationships/hyperlink" Target="https://login.consultant.ru/link/?req=doc&amp;base=LAW&amp;n=519763&amp;dst=100030" TargetMode="External"/><Relationship Id="rId83" Type="http://schemas.openxmlformats.org/officeDocument/2006/relationships/hyperlink" Target="https://login.consultant.ru/link/?req=doc&amp;base=LAW&amp;n=517878&amp;dst=100007" TargetMode="External"/><Relationship Id="rId88" Type="http://schemas.openxmlformats.org/officeDocument/2006/relationships/hyperlink" Target="https://login.consultant.ru/link/?req=doc&amp;base=PBI&amp;n=354932" TargetMode="External"/><Relationship Id="rId91" Type="http://schemas.openxmlformats.org/officeDocument/2006/relationships/hyperlink" Target="https://login.consultant.ru/link/?req=doc&amp;base=LAW&amp;n=520020&amp;dst=100423" TargetMode="External"/><Relationship Id="rId96" Type="http://schemas.openxmlformats.org/officeDocument/2006/relationships/hyperlink" Target="https://login.consultant.ru/link/?req=doc&amp;base=GRNNP&amp;n=59" TargetMode="External"/><Relationship Id="rId111" Type="http://schemas.openxmlformats.org/officeDocument/2006/relationships/hyperlink" Target="https://login.consultant.ru/link/?req=doc&amp;base=LAW&amp;n=520020&amp;dst=1017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020&amp;dst=100008" TargetMode="External"/><Relationship Id="rId15" Type="http://schemas.openxmlformats.org/officeDocument/2006/relationships/hyperlink" Target="https://login.consultant.ru/link/?req=doc&amp;base=LAW&amp;n=506200&amp;dst=100006" TargetMode="External"/><Relationship Id="rId23" Type="http://schemas.openxmlformats.org/officeDocument/2006/relationships/hyperlink" Target="https://login.consultant.ru/link/?req=doc&amp;base=LAW&amp;n=520020&amp;dst=100286" TargetMode="External"/><Relationship Id="rId28" Type="http://schemas.openxmlformats.org/officeDocument/2006/relationships/hyperlink" Target="https://login.consultant.ru/link/?req=doc&amp;base=LAW&amp;n=510041&amp;dst=100015" TargetMode="External"/><Relationship Id="rId36" Type="http://schemas.openxmlformats.org/officeDocument/2006/relationships/hyperlink" Target="https://login.consultant.ru/link/?req=doc&amp;base=LAW&amp;n=460488&amp;dst=100677" TargetMode="External"/><Relationship Id="rId49" Type="http://schemas.openxmlformats.org/officeDocument/2006/relationships/hyperlink" Target="https://login.consultant.ru/link/?req=doc&amp;base=LAW&amp;n=516657&amp;dst=100073" TargetMode="External"/><Relationship Id="rId57" Type="http://schemas.openxmlformats.org/officeDocument/2006/relationships/hyperlink" Target="https://login.consultant.ru/link/?req=doc&amp;base=LAW&amp;n=520020&amp;dst=101673" TargetMode="External"/><Relationship Id="rId106" Type="http://schemas.openxmlformats.org/officeDocument/2006/relationships/hyperlink" Target="https://login.consultant.ru/link/?req=doc&amp;base=LAW&amp;n=502129&amp;dst=100016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0020&amp;dst=100390" TargetMode="External"/><Relationship Id="rId31" Type="http://schemas.openxmlformats.org/officeDocument/2006/relationships/hyperlink" Target="https://login.consultant.ru/link/?req=doc&amp;base=LAW&amp;n=510041&amp;dst=100015" TargetMode="External"/><Relationship Id="rId44" Type="http://schemas.openxmlformats.org/officeDocument/2006/relationships/hyperlink" Target="https://login.consultant.ru/link/?req=doc&amp;base=LAW&amp;n=516657&amp;dst=100017" TargetMode="External"/><Relationship Id="rId52" Type="http://schemas.openxmlformats.org/officeDocument/2006/relationships/hyperlink" Target="https://login.consultant.ru/link/?req=doc&amp;base=LAW&amp;n=518016&amp;dst=100005" TargetMode="External"/><Relationship Id="rId60" Type="http://schemas.openxmlformats.org/officeDocument/2006/relationships/hyperlink" Target="https://login.consultant.ru/link/?req=doc&amp;base=LAW&amp;n=520020&amp;dst=101710" TargetMode="External"/><Relationship Id="rId65" Type="http://schemas.openxmlformats.org/officeDocument/2006/relationships/hyperlink" Target="https://login.consultant.ru/link/?req=doc&amp;base=LAW&amp;n=519763&amp;dst=100038" TargetMode="External"/><Relationship Id="rId73" Type="http://schemas.openxmlformats.org/officeDocument/2006/relationships/hyperlink" Target="https://login.consultant.ru/link/?req=doc&amp;base=LAW&amp;n=519763&amp;dst=100024" TargetMode="External"/><Relationship Id="rId78" Type="http://schemas.openxmlformats.org/officeDocument/2006/relationships/hyperlink" Target="https://login.consultant.ru/link/?req=doc&amp;base=LAW&amp;n=520034&amp;dst=100012" TargetMode="External"/><Relationship Id="rId81" Type="http://schemas.openxmlformats.org/officeDocument/2006/relationships/hyperlink" Target="https://login.consultant.ru/link/?req=doc&amp;base=LAW&amp;n=520034&amp;dst=100012" TargetMode="External"/><Relationship Id="rId86" Type="http://schemas.openxmlformats.org/officeDocument/2006/relationships/hyperlink" Target="https://login.consultant.ru/link/?req=doc&amp;base=LAW&amp;n=520020&amp;dst=100461" TargetMode="External"/><Relationship Id="rId94" Type="http://schemas.openxmlformats.org/officeDocument/2006/relationships/hyperlink" Target="https://login.consultant.ru/link/?req=doc&amp;base=LAW&amp;n=520020&amp;dst=101013" TargetMode="External"/><Relationship Id="rId99" Type="http://schemas.openxmlformats.org/officeDocument/2006/relationships/hyperlink" Target="https://login.consultant.ru/link/?req=doc&amp;base=LAW&amp;n=510523&amp;dst=100050" TargetMode="External"/><Relationship Id="rId101" Type="http://schemas.openxmlformats.org/officeDocument/2006/relationships/hyperlink" Target="https://login.consultant.ru/link/?req=doc&amp;base=LAW&amp;n=499812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0020&amp;dst=100390" TargetMode="External"/><Relationship Id="rId13" Type="http://schemas.openxmlformats.org/officeDocument/2006/relationships/hyperlink" Target="https://login.consultant.ru/link/?req=doc&amp;base=LAW&amp;n=520119&amp;dst=3284" TargetMode="External"/><Relationship Id="rId18" Type="http://schemas.openxmlformats.org/officeDocument/2006/relationships/hyperlink" Target="https://login.consultant.ru/link/?req=doc&amp;base=LAW&amp;n=520020&amp;dst=100008" TargetMode="External"/><Relationship Id="rId39" Type="http://schemas.openxmlformats.org/officeDocument/2006/relationships/hyperlink" Target="https://login.consultant.ru/link/?req=doc&amp;base=LAW&amp;n=460488&amp;dst=101963" TargetMode="External"/><Relationship Id="rId109" Type="http://schemas.openxmlformats.org/officeDocument/2006/relationships/hyperlink" Target="https://login.consultant.ru/link/?req=doc&amp;base=LAW&amp;n=518726&amp;dst=100010" TargetMode="External"/><Relationship Id="rId34" Type="http://schemas.openxmlformats.org/officeDocument/2006/relationships/hyperlink" Target="https://login.consultant.ru/link/?req=doc&amp;base=LAW&amp;n=460488&amp;dst=100007" TargetMode="External"/><Relationship Id="rId50" Type="http://schemas.openxmlformats.org/officeDocument/2006/relationships/hyperlink" Target="https://login.consultant.ru/link/?req=doc&amp;base=LAW&amp;n=516657&amp;dst=100133" TargetMode="External"/><Relationship Id="rId55" Type="http://schemas.openxmlformats.org/officeDocument/2006/relationships/hyperlink" Target="https://login.consultant.ru/link/?req=doc&amp;base=LAW&amp;n=520032&amp;dst=100009" TargetMode="External"/><Relationship Id="rId76" Type="http://schemas.openxmlformats.org/officeDocument/2006/relationships/hyperlink" Target="https://login.consultant.ru/link/?req=doc&amp;base=LAW&amp;n=519763&amp;dst=100014" TargetMode="External"/><Relationship Id="rId97" Type="http://schemas.openxmlformats.org/officeDocument/2006/relationships/hyperlink" Target="https://login.consultant.ru/link/?req=doc&amp;base=LAW&amp;n=520020&amp;dst=101435" TargetMode="External"/><Relationship Id="rId104" Type="http://schemas.openxmlformats.org/officeDocument/2006/relationships/hyperlink" Target="https://login.consultant.ru/link/?req=doc&amp;base=LAW&amp;n=499812&amp;dst=100007" TargetMode="External"/><Relationship Id="rId7" Type="http://schemas.openxmlformats.org/officeDocument/2006/relationships/hyperlink" Target="https://login.consultant.ru/link/?req=doc&amp;base=LAW&amp;n=520020&amp;dst=100405" TargetMode="External"/><Relationship Id="rId71" Type="http://schemas.openxmlformats.org/officeDocument/2006/relationships/hyperlink" Target="https://login.consultant.ru/link/?req=doc&amp;base=LAW&amp;n=519763&amp;dst=100022" TargetMode="External"/><Relationship Id="rId92" Type="http://schemas.openxmlformats.org/officeDocument/2006/relationships/hyperlink" Target="https://login.consultant.ru/link/?req=doc&amp;base=LAW&amp;n=520020&amp;dst=100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3830</Words>
  <Characters>21837</Characters>
  <Application>Microsoft Office Word</Application>
  <DocSecurity>0</DocSecurity>
  <Lines>181</Lines>
  <Paragraphs>51</Paragraphs>
  <ScaleCrop>false</ScaleCrop>
  <Company/>
  <LinksUpToDate>false</LinksUpToDate>
  <CharactersWithSpaces>25616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Ирина Леонидовна</dc:creator>
  <cp:keywords/>
  <dc:description/>
  <cp:lastModifiedBy>Каминская Ирина Леонидовна</cp:lastModifiedBy>
  <cp:revision>2</cp:revision>
  <dcterms:created xsi:type="dcterms:W3CDTF">2025-12-15T07:59:00Z</dcterms:created>
  <dcterms:modified xsi:type="dcterms:W3CDTF">2025-12-15T08:02:00Z</dcterms:modified>
</cp:coreProperties>
</file>